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45E19" w14:textId="77777777" w:rsidR="009A2BB6" w:rsidRDefault="009A2BB6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3634EF" w14:textId="0383460D" w:rsidR="00204385" w:rsidRDefault="00204385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282A9A">
        <w:rPr>
          <w:rFonts w:ascii="Arial" w:hAnsi="Arial" w:cs="Arial"/>
          <w:color w:val="000000"/>
          <w:sz w:val="24"/>
          <w:szCs w:val="24"/>
        </w:rPr>
        <w:t xml:space="preserve">Please use this form to make comments on the proposed alternative modification to </w:t>
      </w:r>
      <w:r w:rsidRPr="00282A9A">
        <w:rPr>
          <w:rFonts w:ascii="Arial" w:hAnsi="Arial" w:cs="Arial"/>
          <w:b/>
          <w:bCs/>
          <w:color w:val="000000"/>
          <w:sz w:val="24"/>
          <w:szCs w:val="24"/>
        </w:rPr>
        <w:t xml:space="preserve">Policy </w:t>
      </w:r>
      <w:r w:rsidR="009A2BB6" w:rsidRPr="00282A9A">
        <w:rPr>
          <w:rFonts w:ascii="Arial" w:hAnsi="Arial" w:cs="Arial"/>
          <w:b/>
          <w:bCs/>
          <w:color w:val="000000"/>
          <w:sz w:val="24"/>
          <w:szCs w:val="24"/>
        </w:rPr>
        <w:t xml:space="preserve">NQRHA1 Coherence of Villages on the Newport Quendon &amp; Rickling </w:t>
      </w:r>
      <w:r w:rsidRPr="00282A9A">
        <w:rPr>
          <w:rFonts w:ascii="Arial" w:hAnsi="Arial" w:cs="Arial"/>
          <w:b/>
          <w:bCs/>
          <w:color w:val="000000"/>
          <w:sz w:val="24"/>
          <w:szCs w:val="24"/>
        </w:rPr>
        <w:t>Neighbourhood Plan</w:t>
      </w:r>
      <w:r w:rsidRPr="00282A9A">
        <w:rPr>
          <w:rFonts w:ascii="Arial" w:hAnsi="Arial" w:cs="Arial"/>
          <w:color w:val="000000"/>
          <w:sz w:val="24"/>
          <w:szCs w:val="24"/>
        </w:rPr>
        <w:t>, as set out in the Decision Statement</w:t>
      </w:r>
      <w:r w:rsidR="007354D4" w:rsidRPr="00282A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2A9A">
        <w:rPr>
          <w:rFonts w:ascii="Arial" w:hAnsi="Arial" w:cs="Arial"/>
          <w:color w:val="000000"/>
          <w:sz w:val="24"/>
          <w:szCs w:val="24"/>
        </w:rPr>
        <w:t xml:space="preserve">proposal that can be found on the </w:t>
      </w:r>
      <w:r w:rsidR="003E3DCE">
        <w:rPr>
          <w:rFonts w:ascii="Arial" w:hAnsi="Arial" w:cs="Arial"/>
          <w:color w:val="000000"/>
          <w:sz w:val="24"/>
          <w:szCs w:val="24"/>
        </w:rPr>
        <w:t>Uttlesford District</w:t>
      </w:r>
      <w:r w:rsidR="00D445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2A9A">
        <w:rPr>
          <w:rFonts w:ascii="Arial" w:hAnsi="Arial" w:cs="Arial"/>
          <w:color w:val="000000"/>
          <w:sz w:val="24"/>
          <w:szCs w:val="24"/>
        </w:rPr>
        <w:t xml:space="preserve">Council website at </w:t>
      </w:r>
      <w:hyperlink r:id="rId10" w:history="1">
        <w:r w:rsidR="00D445EE" w:rsidRPr="004E30A2">
          <w:rPr>
            <w:rStyle w:val="Hyperlink"/>
            <w:rFonts w:ascii="Arial" w:hAnsi="Arial" w:cs="Arial"/>
            <w:sz w:val="24"/>
            <w:szCs w:val="24"/>
          </w:rPr>
          <w:t>https://www.uttlesford.gov.uk/nqrnp</w:t>
        </w:r>
      </w:hyperlink>
    </w:p>
    <w:p w14:paraId="7281C7C1" w14:textId="77777777" w:rsidR="00282A9A" w:rsidRPr="00282A9A" w:rsidRDefault="00282A9A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ED62C53" w14:textId="26DA7936" w:rsidR="00204385" w:rsidRPr="00282A9A" w:rsidRDefault="00204385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2A9A">
        <w:rPr>
          <w:rFonts w:ascii="Arial" w:hAnsi="Arial" w:cs="Arial"/>
          <w:color w:val="000000"/>
          <w:sz w:val="24"/>
          <w:szCs w:val="24"/>
        </w:rPr>
        <w:t xml:space="preserve">Please submit your response before </w:t>
      </w:r>
      <w:r w:rsidRPr="00282A9A">
        <w:rPr>
          <w:rFonts w:ascii="Arial" w:hAnsi="Arial" w:cs="Arial"/>
          <w:b/>
          <w:bCs/>
          <w:color w:val="000000"/>
          <w:sz w:val="24"/>
          <w:szCs w:val="24"/>
        </w:rPr>
        <w:t xml:space="preserve">5.00pm on Monday </w:t>
      </w:r>
      <w:r w:rsidR="00385D61">
        <w:rPr>
          <w:rFonts w:ascii="Arial" w:hAnsi="Arial" w:cs="Arial"/>
          <w:b/>
          <w:bCs/>
          <w:color w:val="000000"/>
          <w:sz w:val="24"/>
          <w:szCs w:val="24"/>
        </w:rPr>
        <w:t>25</w:t>
      </w:r>
      <w:r w:rsidRPr="00282A9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F3129" w:rsidRPr="00282A9A">
        <w:rPr>
          <w:rFonts w:ascii="Arial" w:hAnsi="Arial" w:cs="Arial"/>
          <w:b/>
          <w:bCs/>
          <w:color w:val="000000"/>
          <w:sz w:val="24"/>
          <w:szCs w:val="24"/>
        </w:rPr>
        <w:t>January</w:t>
      </w:r>
      <w:r w:rsidRPr="00282A9A">
        <w:rPr>
          <w:rFonts w:ascii="Arial" w:hAnsi="Arial" w:cs="Arial"/>
          <w:b/>
          <w:bCs/>
          <w:color w:val="000000"/>
          <w:sz w:val="24"/>
          <w:szCs w:val="24"/>
        </w:rPr>
        <w:t xml:space="preserve"> 202</w:t>
      </w:r>
      <w:r w:rsidR="00DF3129" w:rsidRPr="00282A9A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282A9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82A9A">
        <w:rPr>
          <w:rFonts w:ascii="Arial" w:hAnsi="Arial" w:cs="Arial"/>
          <w:color w:val="000000"/>
          <w:sz w:val="24"/>
          <w:szCs w:val="24"/>
        </w:rPr>
        <w:t>by sending it to</w:t>
      </w:r>
      <w:r w:rsidR="00282A9A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1" w:history="1">
        <w:r w:rsidR="00282A9A" w:rsidRPr="001D2675">
          <w:rPr>
            <w:rStyle w:val="Hyperlink"/>
            <w:rFonts w:ascii="Arial" w:hAnsi="Arial" w:cs="Arial"/>
            <w:sz w:val="24"/>
            <w:szCs w:val="24"/>
          </w:rPr>
          <w:t>planningpolicy@uttlesford.gov.uk</w:t>
        </w:r>
      </w:hyperlink>
      <w:r w:rsidR="00282A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2A9A">
        <w:rPr>
          <w:rFonts w:ascii="Arial" w:hAnsi="Arial" w:cs="Arial"/>
          <w:color w:val="000000"/>
          <w:sz w:val="24"/>
          <w:szCs w:val="24"/>
        </w:rPr>
        <w:t xml:space="preserve"> or by post to: </w:t>
      </w:r>
      <w:r w:rsidR="00DF3129" w:rsidRPr="00282A9A">
        <w:rPr>
          <w:rFonts w:ascii="Arial" w:hAnsi="Arial" w:cs="Arial"/>
          <w:color w:val="000000"/>
          <w:sz w:val="24"/>
          <w:szCs w:val="24"/>
          <w:u w:val="single"/>
        </w:rPr>
        <w:t>Planning Policy,</w:t>
      </w:r>
      <w:r w:rsidR="00CD4BDF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bookmarkStart w:id="0" w:name="_GoBack"/>
      <w:bookmarkEnd w:id="0"/>
      <w:r w:rsidR="00DF3129" w:rsidRPr="00282A9A">
        <w:rPr>
          <w:rFonts w:ascii="Arial" w:hAnsi="Arial" w:cs="Arial"/>
          <w:color w:val="000000"/>
          <w:sz w:val="24"/>
          <w:szCs w:val="24"/>
          <w:u w:val="single"/>
        </w:rPr>
        <w:t xml:space="preserve"> Uttlesford District Council, Council </w:t>
      </w:r>
      <w:r w:rsidR="003852C1" w:rsidRPr="00282A9A">
        <w:rPr>
          <w:rFonts w:ascii="Arial" w:hAnsi="Arial" w:cs="Arial"/>
          <w:color w:val="000000"/>
          <w:sz w:val="24"/>
          <w:szCs w:val="24"/>
          <w:u w:val="single"/>
        </w:rPr>
        <w:t>Offices, London</w:t>
      </w:r>
      <w:r w:rsidR="00DF3129" w:rsidRPr="00282A9A">
        <w:rPr>
          <w:rFonts w:ascii="Arial" w:hAnsi="Arial" w:cs="Arial"/>
          <w:color w:val="000000"/>
          <w:sz w:val="24"/>
          <w:szCs w:val="24"/>
          <w:u w:val="single"/>
        </w:rPr>
        <w:t xml:space="preserve"> Road, Saffron Walden, CB11 4ER</w:t>
      </w:r>
    </w:p>
    <w:p w14:paraId="1B53B464" w14:textId="77777777" w:rsidR="007354D4" w:rsidRPr="009A2BB6" w:rsidRDefault="007354D4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05A3197" w14:textId="6B7968EF" w:rsidR="000D5ECF" w:rsidRDefault="00204385" w:rsidP="00735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282A9A">
        <w:rPr>
          <w:rFonts w:ascii="Arial" w:hAnsi="Arial" w:cs="Arial"/>
          <w:b/>
          <w:bCs/>
          <w:color w:val="000000"/>
          <w:sz w:val="24"/>
          <w:szCs w:val="24"/>
        </w:rPr>
        <w:t xml:space="preserve">Please use the space below to make your comments on </w:t>
      </w:r>
      <w:r w:rsidR="00282A9A" w:rsidRPr="00282A9A">
        <w:rPr>
          <w:rFonts w:ascii="Arial" w:hAnsi="Arial" w:cs="Arial"/>
          <w:b/>
          <w:bCs/>
          <w:color w:val="000000"/>
          <w:sz w:val="24"/>
          <w:szCs w:val="24"/>
        </w:rPr>
        <w:t>Uttlesford District</w:t>
      </w:r>
      <w:r w:rsidRPr="00282A9A">
        <w:rPr>
          <w:rFonts w:ascii="Arial" w:hAnsi="Arial" w:cs="Arial"/>
          <w:b/>
          <w:bCs/>
          <w:color w:val="000000"/>
          <w:sz w:val="24"/>
          <w:szCs w:val="24"/>
        </w:rPr>
        <w:t xml:space="preserve"> Council’s proposed</w:t>
      </w:r>
      <w:r w:rsidR="000D5ECF" w:rsidRPr="00282A9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82A9A">
        <w:rPr>
          <w:rFonts w:ascii="Arial" w:hAnsi="Arial" w:cs="Arial"/>
          <w:b/>
          <w:bCs/>
          <w:color w:val="000000"/>
          <w:sz w:val="24"/>
          <w:szCs w:val="24"/>
        </w:rPr>
        <w:t>alternative modification to Policy</w:t>
      </w:r>
      <w:r w:rsidR="00DF3129" w:rsidRPr="00282A9A">
        <w:rPr>
          <w:rFonts w:ascii="Arial" w:hAnsi="Arial" w:cs="Arial"/>
          <w:b/>
          <w:bCs/>
          <w:color w:val="000000"/>
          <w:sz w:val="24"/>
          <w:szCs w:val="24"/>
        </w:rPr>
        <w:t xml:space="preserve"> NQRHA1 (criterion (b) o</w:t>
      </w:r>
      <w:r w:rsidRPr="00282A9A">
        <w:rPr>
          <w:rFonts w:ascii="Arial" w:hAnsi="Arial" w:cs="Arial"/>
          <w:b/>
          <w:bCs/>
          <w:color w:val="000000"/>
          <w:sz w:val="24"/>
          <w:szCs w:val="24"/>
        </w:rPr>
        <w:t xml:space="preserve">f the </w:t>
      </w:r>
      <w:r w:rsidR="00327E70">
        <w:rPr>
          <w:rFonts w:ascii="Arial" w:hAnsi="Arial" w:cs="Arial"/>
          <w:b/>
          <w:bCs/>
          <w:color w:val="000000"/>
          <w:sz w:val="24"/>
          <w:szCs w:val="24"/>
        </w:rPr>
        <w:t xml:space="preserve">Newport Quendon &amp; Rickling </w:t>
      </w:r>
      <w:r w:rsidRPr="00282A9A">
        <w:rPr>
          <w:rFonts w:ascii="Arial" w:hAnsi="Arial" w:cs="Arial"/>
          <w:b/>
          <w:bCs/>
          <w:color w:val="000000"/>
          <w:sz w:val="24"/>
          <w:szCs w:val="24"/>
        </w:rPr>
        <w:t xml:space="preserve">Neighbourhood </w:t>
      </w:r>
      <w:r w:rsidR="000D5ECF" w:rsidRPr="00282A9A">
        <w:rPr>
          <w:rFonts w:ascii="Arial" w:hAnsi="Arial" w:cs="Arial"/>
          <w:b/>
          <w:bCs/>
          <w:color w:val="000000"/>
          <w:sz w:val="24"/>
          <w:szCs w:val="24"/>
        </w:rPr>
        <w:t xml:space="preserve">Plan. </w:t>
      </w:r>
      <w:r w:rsidRPr="00282A9A">
        <w:rPr>
          <w:rFonts w:ascii="Arial" w:hAnsi="Arial" w:cs="Arial"/>
          <w:color w:val="FFFFFF"/>
          <w:sz w:val="24"/>
          <w:szCs w:val="24"/>
        </w:rPr>
        <w:t>2</w:t>
      </w:r>
    </w:p>
    <w:p w14:paraId="2BBB9189" w14:textId="77777777" w:rsidR="00CD4BDF" w:rsidRDefault="00CD4BDF" w:rsidP="00735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5ECF" w14:paraId="5E88CAAD" w14:textId="77777777" w:rsidTr="00CD4BDF">
        <w:trPr>
          <w:trHeight w:val="9346"/>
        </w:trPr>
        <w:tc>
          <w:tcPr>
            <w:tcW w:w="9016" w:type="dxa"/>
            <w:shd w:val="clear" w:color="auto" w:fill="D9E2F3" w:themeFill="accent1" w:themeFillTint="33"/>
          </w:tcPr>
          <w:p w14:paraId="5906376A" w14:textId="77777777" w:rsidR="000D5ECF" w:rsidRDefault="000D5ECF" w:rsidP="007354D4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32"/>
                <w:szCs w:val="32"/>
              </w:rPr>
            </w:pPr>
          </w:p>
        </w:tc>
      </w:tr>
    </w:tbl>
    <w:p w14:paraId="2CDB7387" w14:textId="4283647C" w:rsidR="00204385" w:rsidRDefault="00204385" w:rsidP="00735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32"/>
          <w:szCs w:val="32"/>
        </w:rPr>
      </w:pPr>
      <w:r>
        <w:rPr>
          <w:rFonts w:ascii="Arial" w:hAnsi="Arial" w:cs="Arial"/>
          <w:color w:val="FFFFFF"/>
          <w:sz w:val="32"/>
          <w:szCs w:val="32"/>
        </w:rPr>
        <w:lastRenderedPageBreak/>
        <w:t>ion Plan - Policy 2 m</w:t>
      </w:r>
    </w:p>
    <w:p w14:paraId="53D9CD0F" w14:textId="53D6B186" w:rsidR="00204385" w:rsidRPr="000D5ECF" w:rsidRDefault="00204385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0D5ECF">
        <w:rPr>
          <w:rFonts w:ascii="Arial" w:hAnsi="Arial" w:cs="Arial"/>
          <w:b/>
          <w:bCs/>
          <w:color w:val="000000"/>
          <w:sz w:val="28"/>
          <w:szCs w:val="28"/>
        </w:rPr>
        <w:t>Personal Details</w:t>
      </w:r>
    </w:p>
    <w:p w14:paraId="63A8D814" w14:textId="77777777" w:rsidR="000D5ECF" w:rsidRPr="000D5ECF" w:rsidRDefault="000D5ECF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5C0422A2" w14:textId="54ABC6A5" w:rsidR="00204385" w:rsidRPr="00D445EE" w:rsidRDefault="007E612A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445EE">
        <w:rPr>
          <w:rFonts w:ascii="Arial" w:hAnsi="Arial" w:cs="Arial"/>
          <w:color w:val="000000"/>
          <w:sz w:val="24"/>
          <w:szCs w:val="24"/>
        </w:rPr>
        <w:t>Uttlesford</w:t>
      </w:r>
      <w:r w:rsidR="00204385" w:rsidRPr="00D445EE">
        <w:rPr>
          <w:rFonts w:ascii="Arial" w:hAnsi="Arial" w:cs="Arial"/>
          <w:color w:val="000000"/>
          <w:sz w:val="24"/>
          <w:szCs w:val="24"/>
        </w:rPr>
        <w:t xml:space="preserve"> Council takes your privacy very seriously and processes your personal data with</w:t>
      </w:r>
      <w:r w:rsidR="000D5ECF" w:rsidRPr="00D445EE">
        <w:rPr>
          <w:rFonts w:ascii="Arial" w:hAnsi="Arial" w:cs="Arial"/>
          <w:color w:val="000000"/>
          <w:sz w:val="24"/>
          <w:szCs w:val="24"/>
        </w:rPr>
        <w:t xml:space="preserve"> </w:t>
      </w:r>
      <w:r w:rsidR="00204385" w:rsidRPr="00D445EE">
        <w:rPr>
          <w:rFonts w:ascii="Arial" w:hAnsi="Arial" w:cs="Arial"/>
          <w:color w:val="000000"/>
          <w:sz w:val="24"/>
          <w:szCs w:val="24"/>
        </w:rPr>
        <w:t>your consent in compliance with data protection legislation. Any personal details you supply will</w:t>
      </w:r>
      <w:r w:rsidR="000D5ECF" w:rsidRPr="00D445EE">
        <w:rPr>
          <w:rFonts w:ascii="Arial" w:hAnsi="Arial" w:cs="Arial"/>
          <w:color w:val="000000"/>
          <w:sz w:val="24"/>
          <w:szCs w:val="24"/>
        </w:rPr>
        <w:t xml:space="preserve"> </w:t>
      </w:r>
      <w:r w:rsidR="00204385" w:rsidRPr="00D445EE">
        <w:rPr>
          <w:rFonts w:ascii="Arial" w:hAnsi="Arial" w:cs="Arial"/>
          <w:color w:val="000000"/>
          <w:sz w:val="24"/>
          <w:szCs w:val="24"/>
        </w:rPr>
        <w:t>solely be used for the purposes of correspondence relating to the</w:t>
      </w:r>
      <w:r w:rsidRPr="00D445EE">
        <w:rPr>
          <w:rFonts w:ascii="Arial" w:hAnsi="Arial" w:cs="Arial"/>
          <w:color w:val="000000"/>
          <w:sz w:val="24"/>
          <w:szCs w:val="24"/>
        </w:rPr>
        <w:t xml:space="preserve"> Newport Quendon &amp; Rickling </w:t>
      </w:r>
      <w:r w:rsidR="00204385" w:rsidRPr="00D445EE">
        <w:rPr>
          <w:rFonts w:ascii="Arial" w:hAnsi="Arial" w:cs="Arial"/>
          <w:color w:val="000000"/>
          <w:sz w:val="24"/>
          <w:szCs w:val="24"/>
        </w:rPr>
        <w:t>Neighbourhood Plan.</w:t>
      </w:r>
      <w:r w:rsidR="009A2BB6" w:rsidRPr="00D445EE">
        <w:rPr>
          <w:rFonts w:ascii="Arial" w:hAnsi="Arial" w:cs="Arial"/>
          <w:color w:val="000000"/>
          <w:sz w:val="24"/>
          <w:szCs w:val="24"/>
        </w:rPr>
        <w:t xml:space="preserve"> </w:t>
      </w:r>
      <w:r w:rsidR="00204385" w:rsidRPr="00D445EE">
        <w:rPr>
          <w:rFonts w:ascii="Arial" w:hAnsi="Arial" w:cs="Arial"/>
          <w:color w:val="000000"/>
          <w:sz w:val="24"/>
          <w:szCs w:val="24"/>
        </w:rPr>
        <w:t>Personal details will be retained for one year following the date of adoption of the Neighbourhood</w:t>
      </w:r>
      <w:r w:rsidR="000D5ECF" w:rsidRPr="00D445EE">
        <w:rPr>
          <w:rFonts w:ascii="Arial" w:hAnsi="Arial" w:cs="Arial"/>
          <w:color w:val="000000"/>
          <w:sz w:val="24"/>
          <w:szCs w:val="24"/>
        </w:rPr>
        <w:t xml:space="preserve"> </w:t>
      </w:r>
      <w:r w:rsidR="00204385" w:rsidRPr="00D445EE">
        <w:rPr>
          <w:rFonts w:ascii="Arial" w:hAnsi="Arial" w:cs="Arial"/>
          <w:color w:val="000000"/>
          <w:sz w:val="24"/>
          <w:szCs w:val="24"/>
        </w:rPr>
        <w:t>Plan.</w:t>
      </w:r>
    </w:p>
    <w:p w14:paraId="4F304586" w14:textId="77777777" w:rsidR="000D5ECF" w:rsidRPr="00D445EE" w:rsidRDefault="000D5ECF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60FDAB7" w14:textId="23CB1852" w:rsidR="00204385" w:rsidRPr="00D445EE" w:rsidRDefault="00204385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445EE">
        <w:rPr>
          <w:rFonts w:ascii="Arial" w:hAnsi="Arial" w:cs="Arial"/>
          <w:color w:val="000000"/>
          <w:sz w:val="24"/>
          <w:szCs w:val="24"/>
        </w:rPr>
        <w:t>The information you provide as part of this consultation (including your name, and organisation if</w:t>
      </w:r>
      <w:r w:rsidR="000D5ECF" w:rsidRPr="00D445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E">
        <w:rPr>
          <w:rFonts w:ascii="Arial" w:hAnsi="Arial" w:cs="Arial"/>
          <w:color w:val="000000"/>
          <w:sz w:val="24"/>
          <w:szCs w:val="24"/>
        </w:rPr>
        <w:t>you represent one) will be made publicly available.</w:t>
      </w:r>
    </w:p>
    <w:p w14:paraId="4C9B71B1" w14:textId="77777777" w:rsidR="000D5ECF" w:rsidRPr="00D445EE" w:rsidRDefault="000D5ECF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35D65C2" w14:textId="26615A2D" w:rsidR="00204385" w:rsidRPr="00D445EE" w:rsidRDefault="00204385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445EE">
        <w:rPr>
          <w:rFonts w:ascii="Arial" w:hAnsi="Arial" w:cs="Arial"/>
          <w:color w:val="000000"/>
          <w:sz w:val="24"/>
          <w:szCs w:val="24"/>
          <w:u w:val="single"/>
        </w:rPr>
        <w:t>Your Rights</w:t>
      </w:r>
      <w:r w:rsidRPr="00D445EE">
        <w:rPr>
          <w:rFonts w:ascii="Arial" w:hAnsi="Arial" w:cs="Arial"/>
          <w:color w:val="000000"/>
          <w:sz w:val="24"/>
          <w:szCs w:val="24"/>
        </w:rPr>
        <w:t>: Under Data Protection Legislation you may have the right to access, rectification,</w:t>
      </w:r>
      <w:r w:rsidR="000D5ECF" w:rsidRPr="00D445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E">
        <w:rPr>
          <w:rFonts w:ascii="Arial" w:hAnsi="Arial" w:cs="Arial"/>
          <w:color w:val="000000"/>
          <w:sz w:val="24"/>
          <w:szCs w:val="24"/>
        </w:rPr>
        <w:t>restriction, portability or erasure of the processing of your personal data, as detailed in our Privacy</w:t>
      </w:r>
      <w:r w:rsidR="000D5ECF" w:rsidRPr="00D445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E">
        <w:rPr>
          <w:rFonts w:ascii="Arial" w:hAnsi="Arial" w:cs="Arial"/>
          <w:color w:val="000000"/>
          <w:sz w:val="24"/>
          <w:szCs w:val="24"/>
        </w:rPr>
        <w:t>Policy.</w:t>
      </w:r>
      <w:r w:rsidR="000D5ECF" w:rsidRPr="00D445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E">
        <w:rPr>
          <w:rFonts w:ascii="Arial" w:hAnsi="Arial" w:cs="Arial"/>
          <w:color w:val="000000"/>
          <w:sz w:val="24"/>
          <w:szCs w:val="24"/>
        </w:rPr>
        <w:t xml:space="preserve">You can contact the </w:t>
      </w:r>
      <w:r w:rsidR="007E612A" w:rsidRPr="00D445EE">
        <w:rPr>
          <w:rFonts w:ascii="Arial" w:hAnsi="Arial" w:cs="Arial"/>
          <w:color w:val="000000"/>
          <w:sz w:val="24"/>
          <w:szCs w:val="24"/>
        </w:rPr>
        <w:t xml:space="preserve">Uttlesford District </w:t>
      </w:r>
      <w:r w:rsidRPr="00D445EE">
        <w:rPr>
          <w:rFonts w:ascii="Arial" w:hAnsi="Arial" w:cs="Arial"/>
          <w:color w:val="000000"/>
          <w:sz w:val="24"/>
          <w:szCs w:val="24"/>
        </w:rPr>
        <w:t xml:space="preserve">Council Data Protection Officer at </w:t>
      </w:r>
      <w:hyperlink r:id="rId12" w:history="1">
        <w:r w:rsidR="000F4DAD" w:rsidRPr="00D445EE">
          <w:rPr>
            <w:rStyle w:val="Hyperlink"/>
            <w:rFonts w:ascii="Arial" w:hAnsi="Arial" w:cs="Arial"/>
            <w:sz w:val="24"/>
            <w:szCs w:val="24"/>
          </w:rPr>
          <w:t>dpo@uttlesford.gov.uk</w:t>
        </w:r>
      </w:hyperlink>
      <w:r w:rsidR="000F4DAD" w:rsidRPr="00D445E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445EE">
        <w:rPr>
          <w:rFonts w:ascii="Arial" w:hAnsi="Arial" w:cs="Arial"/>
          <w:color w:val="000000"/>
          <w:sz w:val="24"/>
          <w:szCs w:val="24"/>
        </w:rPr>
        <w:t>You also have the right to lodge a complaint</w:t>
      </w:r>
      <w:r w:rsidR="000D5ECF" w:rsidRPr="00D445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E">
        <w:rPr>
          <w:rFonts w:ascii="Arial" w:hAnsi="Arial" w:cs="Arial"/>
          <w:color w:val="000000"/>
          <w:sz w:val="24"/>
          <w:szCs w:val="24"/>
        </w:rPr>
        <w:t>with the regulator, the Information Commissioner’s Office.</w:t>
      </w:r>
    </w:p>
    <w:p w14:paraId="489935D4" w14:textId="77777777" w:rsidR="000D5ECF" w:rsidRDefault="000D5ECF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11591DB" w14:textId="02963E8E" w:rsidR="00204385" w:rsidRPr="00282A9A" w:rsidRDefault="00204385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82A9A">
        <w:rPr>
          <w:rFonts w:ascii="Arial" w:hAnsi="Arial" w:cs="Arial"/>
          <w:b/>
          <w:bCs/>
          <w:color w:val="000000"/>
          <w:sz w:val="24"/>
          <w:szCs w:val="24"/>
        </w:rPr>
        <w:t>Name (Title, First name, Surname)</w:t>
      </w:r>
    </w:p>
    <w:p w14:paraId="58EA72F9" w14:textId="77777777" w:rsidR="000D5ECF" w:rsidRDefault="000D5ECF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</w:tblGrid>
      <w:tr w:rsidR="000D5ECF" w14:paraId="5E73266E" w14:textId="77777777" w:rsidTr="007E612A">
        <w:tc>
          <w:tcPr>
            <w:tcW w:w="7792" w:type="dxa"/>
            <w:shd w:val="clear" w:color="auto" w:fill="D5DCE4" w:themeFill="text2" w:themeFillTint="33"/>
          </w:tcPr>
          <w:p w14:paraId="12C546D1" w14:textId="77777777" w:rsidR="000D5ECF" w:rsidRDefault="000D5ECF" w:rsidP="00204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9153A88" w14:textId="5EB3303B" w:rsidR="000D5ECF" w:rsidRDefault="000D5ECF" w:rsidP="00204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1916B54B" w14:textId="77777777" w:rsidR="000D5ECF" w:rsidRDefault="000D5ECF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38931E3" w14:textId="0E5E8FA1" w:rsidR="00204385" w:rsidRDefault="00204385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82A9A">
        <w:rPr>
          <w:rFonts w:ascii="Arial" w:hAnsi="Arial" w:cs="Arial"/>
          <w:b/>
          <w:bCs/>
          <w:color w:val="000000"/>
          <w:sz w:val="24"/>
          <w:szCs w:val="24"/>
        </w:rPr>
        <w:t>Organisation (if applicable)</w:t>
      </w:r>
    </w:p>
    <w:p w14:paraId="5CB8DD97" w14:textId="77777777" w:rsidR="00282A9A" w:rsidRPr="00282A9A" w:rsidRDefault="00282A9A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</w:tblGrid>
      <w:tr w:rsidR="000D5ECF" w14:paraId="1796272B" w14:textId="77777777" w:rsidTr="007C7050">
        <w:tc>
          <w:tcPr>
            <w:tcW w:w="7792" w:type="dxa"/>
            <w:shd w:val="clear" w:color="auto" w:fill="D5DCE4" w:themeFill="text2" w:themeFillTint="33"/>
          </w:tcPr>
          <w:p w14:paraId="42FB2C38" w14:textId="77777777" w:rsidR="000D5ECF" w:rsidRDefault="000D5ECF" w:rsidP="000D5E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7701B553" w14:textId="188D589E" w:rsidR="000D5ECF" w:rsidRDefault="000D5ECF" w:rsidP="000D5E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2AACC663" w14:textId="77777777" w:rsidR="000D5ECF" w:rsidRDefault="000D5ECF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14B9534" w14:textId="04FBD4D3" w:rsidR="00204385" w:rsidRDefault="00204385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82A9A">
        <w:rPr>
          <w:rFonts w:ascii="Arial" w:hAnsi="Arial" w:cs="Arial"/>
          <w:b/>
          <w:bCs/>
          <w:color w:val="000000"/>
          <w:sz w:val="24"/>
          <w:szCs w:val="24"/>
        </w:rPr>
        <w:t>Address</w:t>
      </w:r>
    </w:p>
    <w:p w14:paraId="4C204E09" w14:textId="77777777" w:rsidR="00282A9A" w:rsidRPr="00282A9A" w:rsidRDefault="00282A9A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</w:tblGrid>
      <w:tr w:rsidR="000D5ECF" w14:paraId="36A2E56D" w14:textId="77777777" w:rsidTr="007C7050">
        <w:trPr>
          <w:trHeight w:val="708"/>
        </w:trPr>
        <w:tc>
          <w:tcPr>
            <w:tcW w:w="7792" w:type="dxa"/>
            <w:shd w:val="clear" w:color="auto" w:fill="D5DCE4" w:themeFill="text2" w:themeFillTint="33"/>
          </w:tcPr>
          <w:p w14:paraId="73F8A727" w14:textId="77777777" w:rsidR="000D5ECF" w:rsidRDefault="000D5ECF" w:rsidP="00204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73A2C229" w14:textId="77777777" w:rsidR="000D5ECF" w:rsidRDefault="000D5ECF" w:rsidP="00204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05777FD" w14:textId="45FF8865" w:rsidR="000D5ECF" w:rsidRDefault="000D5ECF" w:rsidP="00204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1B11B10" w14:textId="77777777" w:rsidR="000D5ECF" w:rsidRDefault="000D5ECF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BA7B2A9" w14:textId="2F802E4A" w:rsidR="00204385" w:rsidRPr="00282A9A" w:rsidRDefault="00204385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82A9A">
        <w:rPr>
          <w:rFonts w:ascii="Arial" w:hAnsi="Arial" w:cs="Arial"/>
          <w:b/>
          <w:bCs/>
          <w:color w:val="000000"/>
          <w:sz w:val="24"/>
          <w:szCs w:val="24"/>
        </w:rPr>
        <w:t>Postcode</w:t>
      </w:r>
    </w:p>
    <w:p w14:paraId="637CAC31" w14:textId="77777777" w:rsidR="007C7050" w:rsidRPr="00282A9A" w:rsidRDefault="007C7050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</w:tblGrid>
      <w:tr w:rsidR="000D5ECF" w14:paraId="7723FF53" w14:textId="77777777" w:rsidTr="009A2BB6">
        <w:tc>
          <w:tcPr>
            <w:tcW w:w="1980" w:type="dxa"/>
            <w:shd w:val="clear" w:color="auto" w:fill="D5DCE4" w:themeFill="text2" w:themeFillTint="33"/>
          </w:tcPr>
          <w:p w14:paraId="3D34F47F" w14:textId="77777777" w:rsidR="000D5ECF" w:rsidRDefault="000D5ECF" w:rsidP="00204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CB5D7C8" w14:textId="2014134B" w:rsidR="000D5ECF" w:rsidRDefault="000D5ECF" w:rsidP="00204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0495379" w14:textId="77777777" w:rsidR="00784C84" w:rsidRDefault="00784C84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B7DD985" w14:textId="361DE8F9" w:rsidR="00204385" w:rsidRPr="00282A9A" w:rsidRDefault="00204385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82A9A">
        <w:rPr>
          <w:rFonts w:ascii="Arial" w:hAnsi="Arial" w:cs="Arial"/>
          <w:b/>
          <w:bCs/>
          <w:color w:val="000000"/>
          <w:sz w:val="24"/>
          <w:szCs w:val="24"/>
        </w:rPr>
        <w:t>Telephone Number</w:t>
      </w:r>
    </w:p>
    <w:p w14:paraId="347F5646" w14:textId="77777777" w:rsidR="007C7050" w:rsidRDefault="007C7050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</w:tblGrid>
      <w:tr w:rsidR="000D5ECF" w14:paraId="188E4858" w14:textId="77777777" w:rsidTr="009A2BB6">
        <w:tc>
          <w:tcPr>
            <w:tcW w:w="2830" w:type="dxa"/>
            <w:shd w:val="clear" w:color="auto" w:fill="D5DCE4" w:themeFill="text2" w:themeFillTint="33"/>
          </w:tcPr>
          <w:p w14:paraId="613B5824" w14:textId="77777777" w:rsidR="000D5ECF" w:rsidRDefault="000D5ECF" w:rsidP="00204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E734E44" w14:textId="07D5E35A" w:rsidR="000D5ECF" w:rsidRDefault="000D5ECF" w:rsidP="00204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19983A92" w14:textId="0C86DB19" w:rsidR="000D5ECF" w:rsidRDefault="000D5ECF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60E967D" w14:textId="141D8FA7" w:rsidR="00204385" w:rsidRPr="00282A9A" w:rsidRDefault="00204385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82A9A">
        <w:rPr>
          <w:rFonts w:ascii="Arial" w:hAnsi="Arial" w:cs="Arial"/>
          <w:b/>
          <w:bCs/>
          <w:color w:val="000000"/>
          <w:sz w:val="24"/>
          <w:szCs w:val="24"/>
        </w:rPr>
        <w:t>Email address</w:t>
      </w:r>
    </w:p>
    <w:p w14:paraId="4D1CB370" w14:textId="77777777" w:rsidR="007C7050" w:rsidRDefault="007C7050" w:rsidP="0020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797"/>
      </w:tblGrid>
      <w:tr w:rsidR="000D5ECF" w14:paraId="7358FA56" w14:textId="77777777" w:rsidTr="009A2BB6">
        <w:tc>
          <w:tcPr>
            <w:tcW w:w="7797" w:type="dxa"/>
            <w:shd w:val="clear" w:color="auto" w:fill="D5DCE4" w:themeFill="text2" w:themeFillTint="33"/>
          </w:tcPr>
          <w:p w14:paraId="50810DEB" w14:textId="77777777" w:rsidR="000D5ECF" w:rsidRDefault="000D5ECF" w:rsidP="00204385"/>
          <w:p w14:paraId="45128A85" w14:textId="086DABBD" w:rsidR="000D5ECF" w:rsidRDefault="000D5ECF" w:rsidP="00204385"/>
        </w:tc>
      </w:tr>
    </w:tbl>
    <w:p w14:paraId="0EA2EA1D" w14:textId="6FB8AC72" w:rsidR="00204385" w:rsidRDefault="00204385" w:rsidP="007C7050"/>
    <w:sectPr w:rsidR="00204385" w:rsidSect="007C70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437FA" w14:textId="77777777" w:rsidR="00CB15E7" w:rsidRDefault="00CB15E7" w:rsidP="00204385">
      <w:pPr>
        <w:spacing w:after="0" w:line="240" w:lineRule="auto"/>
      </w:pPr>
      <w:r>
        <w:separator/>
      </w:r>
    </w:p>
  </w:endnote>
  <w:endnote w:type="continuationSeparator" w:id="0">
    <w:p w14:paraId="6DDC0BD7" w14:textId="77777777" w:rsidR="00CB15E7" w:rsidRDefault="00CB15E7" w:rsidP="0020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183D" w14:textId="77777777" w:rsidR="00674AAE" w:rsidRDefault="00674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028864"/>
      <w:docPartObj>
        <w:docPartGallery w:val="Page Numbers (Bottom of Page)"/>
        <w:docPartUnique/>
      </w:docPartObj>
    </w:sdtPr>
    <w:sdtEndPr>
      <w:rPr>
        <w:b/>
        <w:bCs/>
        <w:noProof/>
        <w:sz w:val="24"/>
        <w:szCs w:val="24"/>
      </w:rPr>
    </w:sdtEndPr>
    <w:sdtContent>
      <w:p w14:paraId="1E948D93" w14:textId="0409438A" w:rsidR="00674AAE" w:rsidRPr="003B18F1" w:rsidRDefault="00674AAE">
        <w:pPr>
          <w:pStyle w:val="Footer"/>
          <w:jc w:val="center"/>
          <w:rPr>
            <w:b/>
            <w:bCs/>
            <w:sz w:val="24"/>
            <w:szCs w:val="24"/>
          </w:rPr>
        </w:pPr>
        <w:r w:rsidRPr="003B18F1">
          <w:rPr>
            <w:b/>
            <w:bCs/>
            <w:sz w:val="24"/>
            <w:szCs w:val="24"/>
          </w:rPr>
          <w:fldChar w:fldCharType="begin"/>
        </w:r>
        <w:r w:rsidRPr="003B18F1">
          <w:rPr>
            <w:b/>
            <w:bCs/>
            <w:sz w:val="24"/>
            <w:szCs w:val="24"/>
          </w:rPr>
          <w:instrText xml:space="preserve"> PAGE   \* MERGEFORMAT </w:instrText>
        </w:r>
        <w:r w:rsidRPr="003B18F1">
          <w:rPr>
            <w:b/>
            <w:bCs/>
            <w:sz w:val="24"/>
            <w:szCs w:val="24"/>
          </w:rPr>
          <w:fldChar w:fldCharType="separate"/>
        </w:r>
        <w:r w:rsidRPr="003B18F1">
          <w:rPr>
            <w:b/>
            <w:bCs/>
            <w:noProof/>
            <w:sz w:val="24"/>
            <w:szCs w:val="24"/>
          </w:rPr>
          <w:t>2</w:t>
        </w:r>
        <w:r w:rsidRPr="003B18F1">
          <w:rPr>
            <w:b/>
            <w:bCs/>
            <w:noProof/>
            <w:sz w:val="24"/>
            <w:szCs w:val="24"/>
          </w:rPr>
          <w:fldChar w:fldCharType="end"/>
        </w:r>
      </w:p>
    </w:sdtContent>
  </w:sdt>
  <w:p w14:paraId="14517AA7" w14:textId="77777777" w:rsidR="00674AAE" w:rsidRDefault="00674A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79AA5" w14:textId="77777777" w:rsidR="00674AAE" w:rsidRDefault="00674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AC6FB" w14:textId="77777777" w:rsidR="00CB15E7" w:rsidRDefault="00CB15E7" w:rsidP="00204385">
      <w:pPr>
        <w:spacing w:after="0" w:line="240" w:lineRule="auto"/>
      </w:pPr>
      <w:r>
        <w:separator/>
      </w:r>
    </w:p>
  </w:footnote>
  <w:footnote w:type="continuationSeparator" w:id="0">
    <w:p w14:paraId="5E3ACE8B" w14:textId="77777777" w:rsidR="00CB15E7" w:rsidRDefault="00CB15E7" w:rsidP="0020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D0E8" w14:textId="77777777" w:rsidR="00674AAE" w:rsidRDefault="00674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05247" w14:textId="293FF881" w:rsidR="00784C84" w:rsidRPr="009A2BB6" w:rsidRDefault="009A2BB6" w:rsidP="009A2BB6">
    <w:pPr>
      <w:pStyle w:val="Header"/>
      <w:jc w:val="center"/>
      <w:rPr>
        <w:b/>
        <w:bCs/>
        <w:sz w:val="28"/>
        <w:szCs w:val="28"/>
      </w:rPr>
    </w:pPr>
    <w:r w:rsidRPr="009A2BB6">
      <w:rPr>
        <w:b/>
        <w:bCs/>
        <w:sz w:val="28"/>
        <w:szCs w:val="28"/>
      </w:rPr>
      <w:t>NEWPORT QUENDON &amp; RICKLING NEIGHBOURHOOD PLAN – POLICY NQRHA1 CRITERION (b)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D3CBC" w14:textId="77777777" w:rsidR="00674AAE" w:rsidRDefault="00674A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85"/>
    <w:rsid w:val="000D5ECF"/>
    <w:rsid w:val="000F4DAD"/>
    <w:rsid w:val="001A4CCC"/>
    <w:rsid w:val="00204385"/>
    <w:rsid w:val="00282A9A"/>
    <w:rsid w:val="00327E70"/>
    <w:rsid w:val="003852C1"/>
    <w:rsid w:val="00385D61"/>
    <w:rsid w:val="003B18F1"/>
    <w:rsid w:val="003E3DCE"/>
    <w:rsid w:val="00674AAE"/>
    <w:rsid w:val="007354D4"/>
    <w:rsid w:val="00784C84"/>
    <w:rsid w:val="007C7050"/>
    <w:rsid w:val="007E612A"/>
    <w:rsid w:val="009A2BB6"/>
    <w:rsid w:val="00B82379"/>
    <w:rsid w:val="00BD19CE"/>
    <w:rsid w:val="00CB15E7"/>
    <w:rsid w:val="00CD4BDF"/>
    <w:rsid w:val="00D445EE"/>
    <w:rsid w:val="00DF08F0"/>
    <w:rsid w:val="00DF29EF"/>
    <w:rsid w:val="00D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AF73A"/>
  <w15:chartTrackingRefBased/>
  <w15:docId w15:val="{8C08C5ED-4C3C-44DC-89B4-DCD884CD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385"/>
  </w:style>
  <w:style w:type="paragraph" w:styleId="Footer">
    <w:name w:val="footer"/>
    <w:basedOn w:val="Normal"/>
    <w:link w:val="FooterChar"/>
    <w:uiPriority w:val="99"/>
    <w:unhideWhenUsed/>
    <w:rsid w:val="00204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385"/>
  </w:style>
  <w:style w:type="table" w:styleId="TableGrid">
    <w:name w:val="Table Grid"/>
    <w:basedOn w:val="TableNormal"/>
    <w:uiPriority w:val="39"/>
    <w:rsid w:val="000D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@uttlesford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lanningpolicy@uttlesford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uttlesford.gov.uk/nqrnp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B663471BC0439FA8A775999EB1E3" ma:contentTypeVersion="8" ma:contentTypeDescription="Create a new document." ma:contentTypeScope="" ma:versionID="03dfdc67bef06ca2bb0ec082ff956360">
  <xsd:schema xmlns:xsd="http://www.w3.org/2001/XMLSchema" xmlns:xs="http://www.w3.org/2001/XMLSchema" xmlns:p="http://schemas.microsoft.com/office/2006/metadata/properties" xmlns:ns3="f2421d68-acfe-4ccc-b914-682c4fbe3b00" targetNamespace="http://schemas.microsoft.com/office/2006/metadata/properties" ma:root="true" ma:fieldsID="c939628e92413914600716b4603b823f" ns3:_="">
    <xsd:import namespace="f2421d68-acfe-4ccc-b914-682c4fbe3b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21d68-acfe-4ccc-b914-682c4fbe3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089AE-91D8-44FD-82A8-D8EEE6105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57B7B-CA0A-4DDA-98C1-E8C10CDDB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F84B6-A25F-44C9-A5F0-CA06BA8DB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21d68-acfe-4ccc-b914-682c4fbe3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ACAAA-E7D8-4583-AF68-DE9F1290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Newport Quendon &amp; Rickling Neighbourhood Plan  - POlicy NQRHA1 Criterion (BBB£££££££££££££££££££££B</dc:title>
  <dc:subject/>
  <dc:creator>Demetria Macdonald</dc:creator>
  <cp:keywords/>
  <dc:description/>
  <cp:lastModifiedBy>Demetria Macdonald</cp:lastModifiedBy>
  <cp:revision>12</cp:revision>
  <dcterms:created xsi:type="dcterms:W3CDTF">2020-10-15T15:01:00Z</dcterms:created>
  <dcterms:modified xsi:type="dcterms:W3CDTF">2020-12-03T10:12:00Z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0x010100A2F3B663471BC0439FA8A775999EB1E3</vt:lpwstr>
  </property>
</Properties>
</file>