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Default="00875A41">
      <w:pPr>
        <w:rPr>
          <w:rFonts w:ascii="Arial" w:hAnsi="Arial" w:cs="Arial"/>
          <w:b/>
          <w:sz w:val="28"/>
          <w:szCs w:val="28"/>
        </w:rPr>
      </w:pPr>
    </w:p>
    <w:p w:rsidR="00875A41" w:rsidRPr="00875A41" w:rsidRDefault="00875A41" w:rsidP="00875A41">
      <w:pPr>
        <w:jc w:val="right"/>
        <w:rPr>
          <w:rFonts w:ascii="Arial" w:hAnsi="Arial" w:cs="Arial"/>
          <w:b/>
          <w:sz w:val="24"/>
          <w:szCs w:val="24"/>
        </w:rPr>
      </w:pPr>
      <w:r>
        <w:rPr>
          <w:rFonts w:ascii="Arial" w:hAnsi="Arial" w:cs="Arial"/>
          <w:b/>
          <w:noProof/>
          <w:sz w:val="28"/>
          <w:szCs w:val="28"/>
          <w:lang w:eastAsia="en-GB"/>
        </w:rPr>
        <w:drawing>
          <wp:anchor distT="0" distB="0" distL="114300" distR="114300" simplePos="0" relativeHeight="251658240" behindDoc="0" locked="0" layoutInCell="1" allowOverlap="1" wp14:anchorId="33283A33" wp14:editId="294D92C4">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41">
        <w:rPr>
          <w:rFonts w:ascii="Arial" w:hAnsi="Arial" w:cs="Arial"/>
          <w:b/>
          <w:noProof/>
          <w:color w:val="339966"/>
          <w:sz w:val="24"/>
          <w:szCs w:val="24"/>
        </w:rPr>
        <w:t>UTTLESFORD DISTRICT COUNCIL</w:t>
      </w:r>
      <w:r w:rsidRPr="00875A41">
        <w:rPr>
          <w:rFonts w:ascii="Arial" w:hAnsi="Arial" w:cs="Arial"/>
          <w:b/>
          <w:noProof/>
          <w:color w:val="339966"/>
          <w:sz w:val="24"/>
          <w:szCs w:val="24"/>
        </w:rPr>
        <w:cr/>
      </w: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Pr="00875A41" w:rsidRDefault="00875A41">
      <w:pPr>
        <w:rPr>
          <w:rFonts w:ascii="Arial" w:hAnsi="Arial" w:cs="Arial"/>
          <w:b/>
          <w:sz w:val="44"/>
          <w:szCs w:val="44"/>
        </w:rPr>
      </w:pPr>
    </w:p>
    <w:p w:rsidR="00875A41" w:rsidRDefault="00875A41" w:rsidP="00875A41">
      <w:pPr>
        <w:jc w:val="center"/>
        <w:rPr>
          <w:rFonts w:ascii="Arial" w:hAnsi="Arial" w:cs="Arial"/>
          <w:b/>
          <w:sz w:val="44"/>
          <w:szCs w:val="44"/>
        </w:rPr>
      </w:pPr>
      <w:r w:rsidRPr="00875A41">
        <w:rPr>
          <w:rFonts w:ascii="Arial" w:hAnsi="Arial" w:cs="Arial"/>
          <w:b/>
          <w:sz w:val="44"/>
          <w:szCs w:val="44"/>
        </w:rPr>
        <w:t xml:space="preserve">LOCAL VALIDATION CHECKLIST FOR </w:t>
      </w:r>
      <w:r w:rsidR="007A7A28">
        <w:rPr>
          <w:rFonts w:ascii="Arial" w:hAnsi="Arial" w:cs="Arial"/>
          <w:b/>
          <w:sz w:val="44"/>
          <w:szCs w:val="44"/>
        </w:rPr>
        <w:t>PERMITTED DEVELOPMENT FOR LARGER EXTENSIONS TO HOUSEHOLDS</w:t>
      </w:r>
    </w:p>
    <w:p w:rsidR="00875A41" w:rsidRDefault="00875A41" w:rsidP="00875A41">
      <w:pPr>
        <w:jc w:val="center"/>
        <w:rPr>
          <w:rFonts w:ascii="Arial" w:hAnsi="Arial" w:cs="Arial"/>
          <w:b/>
          <w:sz w:val="44"/>
          <w:szCs w:val="44"/>
        </w:rPr>
      </w:pPr>
    </w:p>
    <w:p w:rsidR="00875A41" w:rsidRPr="00875A41" w:rsidRDefault="00875A41" w:rsidP="00875A41">
      <w:pPr>
        <w:rPr>
          <w:rFonts w:ascii="Arial" w:hAnsi="Arial" w:cs="Arial"/>
          <w:b/>
          <w:sz w:val="24"/>
          <w:szCs w:val="24"/>
        </w:rPr>
      </w:pPr>
      <w:proofErr w:type="spellStart"/>
      <w:r>
        <w:rPr>
          <w:rFonts w:ascii="Arial" w:hAnsi="Arial" w:cs="Arial"/>
          <w:b/>
          <w:sz w:val="24"/>
          <w:szCs w:val="24"/>
        </w:rPr>
        <w:t>Uttlesford</w:t>
      </w:r>
      <w:proofErr w:type="spellEnd"/>
      <w:r>
        <w:rPr>
          <w:rFonts w:ascii="Arial" w:hAnsi="Arial" w:cs="Arial"/>
          <w:b/>
          <w:sz w:val="24"/>
          <w:szCs w:val="24"/>
        </w:rPr>
        <w:t xml:space="preserve"> District Council Local Validation Checklist has been prepared in accordance with the Town and Country Planning (Development Management Procedure) (England) Order 2015 and the Town and Country Planning Act 1990 (as amended)</w:t>
      </w: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pPr>
        <w:rPr>
          <w:rFonts w:ascii="Arial" w:hAnsi="Arial" w:cs="Arial"/>
          <w:b/>
          <w:sz w:val="28"/>
          <w:szCs w:val="28"/>
        </w:rPr>
      </w:pPr>
    </w:p>
    <w:p w:rsidR="00F573D3" w:rsidRDefault="00F573D3" w:rsidP="00875A41">
      <w:pPr>
        <w:jc w:val="right"/>
        <w:rPr>
          <w:rFonts w:ascii="Arial" w:hAnsi="Arial" w:cs="Arial"/>
          <w:b/>
          <w:sz w:val="28"/>
          <w:szCs w:val="28"/>
        </w:rPr>
      </w:pPr>
    </w:p>
    <w:p w:rsidR="00875A41" w:rsidRDefault="00875A41" w:rsidP="00875A41">
      <w:pPr>
        <w:jc w:val="right"/>
        <w:rPr>
          <w:rFonts w:ascii="Arial" w:hAnsi="Arial" w:cs="Arial"/>
          <w:b/>
          <w:sz w:val="28"/>
          <w:szCs w:val="28"/>
        </w:rPr>
      </w:pPr>
    </w:p>
    <w:p w:rsidR="00875A41" w:rsidRDefault="00875A41">
      <w:pPr>
        <w:rPr>
          <w:rFonts w:ascii="Arial" w:hAnsi="Arial" w:cs="Arial"/>
          <w:b/>
          <w:sz w:val="28"/>
          <w:szCs w:val="28"/>
        </w:rPr>
      </w:pPr>
    </w:p>
    <w:tbl>
      <w:tblPr>
        <w:tblStyle w:val="LightList-Accent3"/>
        <w:tblW w:w="14992" w:type="dxa"/>
        <w:tblLayout w:type="fixed"/>
        <w:tblLook w:val="04A0" w:firstRow="1" w:lastRow="0" w:firstColumn="1" w:lastColumn="0" w:noHBand="0" w:noVBand="1"/>
      </w:tblPr>
      <w:tblGrid>
        <w:gridCol w:w="5920"/>
        <w:gridCol w:w="5812"/>
        <w:gridCol w:w="3260"/>
      </w:tblGrid>
      <w:tr w:rsidR="004C51F9" w:rsidRPr="00600219" w:rsidTr="00F573D3">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right w:val="single" w:sz="4" w:space="0" w:color="auto"/>
            </w:tcBorders>
          </w:tcPr>
          <w:p w:rsidR="004C51F9" w:rsidRPr="006F6A2E" w:rsidRDefault="006E7226" w:rsidP="006B0172">
            <w:pPr>
              <w:spacing w:after="200" w:line="276" w:lineRule="auto"/>
              <w:rPr>
                <w:rFonts w:ascii="Arial" w:hAnsi="Arial" w:cs="Arial"/>
                <w:b w:val="0"/>
                <w:color w:val="auto"/>
              </w:rPr>
            </w:pPr>
            <w:r w:rsidRPr="006F6A2E">
              <w:rPr>
                <w:rFonts w:ascii="Arial" w:hAnsi="Arial" w:cs="Arial"/>
                <w:color w:val="auto"/>
              </w:rPr>
              <w:t>NATIONAL REQUIREMENTS – in line with The Town and Country Planning  (Development Management Procedure) (England) Order 2015</w:t>
            </w:r>
          </w:p>
        </w:tc>
        <w:tc>
          <w:tcPr>
            <w:tcW w:w="5812" w:type="dxa"/>
            <w:tcBorders>
              <w:left w:val="single" w:sz="4" w:space="0" w:color="auto"/>
              <w:right w:val="single" w:sz="4" w:space="0" w:color="auto"/>
            </w:tcBorders>
          </w:tcPr>
          <w:p w:rsidR="004C51F9" w:rsidRPr="006F6A2E"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F6A2E">
              <w:rPr>
                <w:rFonts w:ascii="Arial" w:hAnsi="Arial" w:cs="Arial"/>
                <w:color w:val="auto"/>
              </w:rPr>
              <w:t>CORRESPONDING POLICIES &amp; GUIDANCE</w:t>
            </w:r>
          </w:p>
        </w:tc>
        <w:tc>
          <w:tcPr>
            <w:tcW w:w="3260" w:type="dxa"/>
            <w:tcBorders>
              <w:left w:val="single" w:sz="4" w:space="0" w:color="auto"/>
              <w:right w:val="single" w:sz="4" w:space="0" w:color="auto"/>
            </w:tcBorders>
          </w:tcPr>
          <w:p w:rsidR="004C51F9" w:rsidRPr="006F6A2E"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F6A2E">
              <w:rPr>
                <w:rFonts w:ascii="Arial" w:hAnsi="Arial" w:cs="Arial"/>
                <w:color w:val="auto"/>
              </w:rPr>
              <w:t>THRESHOLD</w:t>
            </w:r>
          </w:p>
        </w:tc>
      </w:tr>
      <w:tr w:rsidR="004C51F9" w:rsidRPr="00600219" w:rsidTr="009B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bottom w:val="none" w:sz="0" w:space="0" w:color="auto"/>
              <w:right w:val="single" w:sz="4" w:space="0" w:color="auto"/>
            </w:tcBorders>
          </w:tcPr>
          <w:p w:rsidR="00F573D3" w:rsidRDefault="00F573D3" w:rsidP="00F573D3">
            <w:pPr>
              <w:rPr>
                <w:rFonts w:ascii="Arial" w:hAnsi="Arial" w:cs="Arial"/>
                <w:b w:val="0"/>
              </w:rPr>
            </w:pPr>
          </w:p>
          <w:p w:rsidR="00F573D3" w:rsidRDefault="007A7A28" w:rsidP="00F573D3">
            <w:pPr>
              <w:rPr>
                <w:rFonts w:ascii="Arial" w:hAnsi="Arial" w:cs="Arial"/>
                <w:b w:val="0"/>
              </w:rPr>
            </w:pPr>
            <w:r>
              <w:rPr>
                <w:rFonts w:ascii="Arial" w:hAnsi="Arial" w:cs="Arial"/>
                <w:b w:val="0"/>
              </w:rPr>
              <w:t>A written description of the proposal which includes:</w:t>
            </w:r>
          </w:p>
          <w:p w:rsidR="007A7A28" w:rsidRDefault="007A7A28" w:rsidP="00F573D3">
            <w:pPr>
              <w:rPr>
                <w:rFonts w:ascii="Arial" w:hAnsi="Arial" w:cs="Arial"/>
                <w:b w:val="0"/>
              </w:rPr>
            </w:pPr>
          </w:p>
          <w:p w:rsidR="007A7A28" w:rsidRPr="007A7A28" w:rsidRDefault="007A7A28" w:rsidP="007A7A28">
            <w:pPr>
              <w:pStyle w:val="ListParagraph"/>
              <w:numPr>
                <w:ilvl w:val="0"/>
                <w:numId w:val="22"/>
              </w:numPr>
              <w:rPr>
                <w:rFonts w:ascii="Arial" w:hAnsi="Arial" w:cs="Arial"/>
                <w:b w:val="0"/>
              </w:rPr>
            </w:pPr>
            <w:r w:rsidRPr="007A7A28">
              <w:rPr>
                <w:rFonts w:ascii="Arial" w:hAnsi="Arial" w:cs="Arial"/>
                <w:b w:val="0"/>
              </w:rPr>
              <w:t>The length that the extension extends beyond the rear wall of the original house:</w:t>
            </w:r>
          </w:p>
          <w:p w:rsidR="007A7A28" w:rsidRPr="007A7A28" w:rsidRDefault="007A7A28" w:rsidP="007A7A28">
            <w:pPr>
              <w:pStyle w:val="ListParagraph"/>
              <w:numPr>
                <w:ilvl w:val="0"/>
                <w:numId w:val="22"/>
              </w:numPr>
              <w:rPr>
                <w:rFonts w:ascii="Arial" w:hAnsi="Arial" w:cs="Arial"/>
                <w:b w:val="0"/>
              </w:rPr>
            </w:pPr>
            <w:r w:rsidRPr="007A7A28">
              <w:rPr>
                <w:rFonts w:ascii="Arial" w:hAnsi="Arial" w:cs="Arial"/>
                <w:b w:val="0"/>
              </w:rPr>
              <w:t>The height at the eaves and</w:t>
            </w:r>
          </w:p>
          <w:p w:rsidR="007A7A28" w:rsidRDefault="007A7A28" w:rsidP="007A7A28">
            <w:pPr>
              <w:pStyle w:val="ListParagraph"/>
              <w:numPr>
                <w:ilvl w:val="0"/>
                <w:numId w:val="22"/>
              </w:numPr>
              <w:rPr>
                <w:rFonts w:ascii="Arial" w:hAnsi="Arial" w:cs="Arial"/>
                <w:b w:val="0"/>
              </w:rPr>
            </w:pPr>
            <w:r w:rsidRPr="007A7A28">
              <w:rPr>
                <w:rFonts w:ascii="Arial" w:hAnsi="Arial" w:cs="Arial"/>
                <w:b w:val="0"/>
              </w:rPr>
              <w:t xml:space="preserve">The maximum height at the enlarged part of the </w:t>
            </w:r>
            <w:proofErr w:type="spellStart"/>
            <w:r w:rsidRPr="007A7A28">
              <w:rPr>
                <w:rFonts w:ascii="Arial" w:hAnsi="Arial" w:cs="Arial"/>
                <w:b w:val="0"/>
              </w:rPr>
              <w:t>dwellinghouse</w:t>
            </w:r>
            <w:proofErr w:type="spellEnd"/>
          </w:p>
          <w:p w:rsidR="00F73EE7" w:rsidRDefault="00F73EE7" w:rsidP="007A7A28">
            <w:pPr>
              <w:pStyle w:val="ListParagraph"/>
              <w:numPr>
                <w:ilvl w:val="0"/>
                <w:numId w:val="22"/>
              </w:numPr>
              <w:rPr>
                <w:rFonts w:ascii="Arial" w:hAnsi="Arial" w:cs="Arial"/>
                <w:b w:val="0"/>
              </w:rPr>
            </w:pPr>
            <w:r>
              <w:rPr>
                <w:rFonts w:ascii="Arial" w:hAnsi="Arial" w:cs="Arial"/>
                <w:b w:val="0"/>
              </w:rPr>
              <w:t>Existing and proposed parking arrangements, with dimensions</w:t>
            </w:r>
          </w:p>
          <w:p w:rsidR="00F73EE7" w:rsidRDefault="00F73EE7" w:rsidP="00F73EE7">
            <w:pPr>
              <w:pStyle w:val="ListParagraph"/>
              <w:rPr>
                <w:rFonts w:ascii="Arial" w:hAnsi="Arial" w:cs="Arial"/>
                <w:b w:val="0"/>
              </w:rPr>
            </w:pPr>
          </w:p>
          <w:p w:rsidR="007A7A28" w:rsidRPr="007A7A28" w:rsidRDefault="007A7A28" w:rsidP="007A7A28">
            <w:pPr>
              <w:rPr>
                <w:rFonts w:ascii="Arial" w:hAnsi="Arial" w:cs="Arial"/>
                <w:b w:val="0"/>
              </w:rPr>
            </w:pPr>
            <w:r w:rsidRPr="007A7A28">
              <w:rPr>
                <w:rFonts w:ascii="Arial" w:hAnsi="Arial" w:cs="Arial"/>
                <w:b w:val="0"/>
              </w:rPr>
              <w:t>A plan of the site, showing the proposed development – it doesn’t have to be to scale.</w:t>
            </w:r>
          </w:p>
          <w:p w:rsidR="007A7A28" w:rsidRPr="007A7A28" w:rsidRDefault="007A7A28" w:rsidP="007A7A28">
            <w:pPr>
              <w:rPr>
                <w:rFonts w:ascii="Arial" w:hAnsi="Arial" w:cs="Arial"/>
                <w:b w:val="0"/>
              </w:rPr>
            </w:pPr>
          </w:p>
          <w:p w:rsidR="007A7A28" w:rsidRPr="007A7A28" w:rsidRDefault="007A7A28" w:rsidP="007A7A28">
            <w:pPr>
              <w:rPr>
                <w:rFonts w:ascii="Arial" w:hAnsi="Arial" w:cs="Arial"/>
                <w:b w:val="0"/>
              </w:rPr>
            </w:pPr>
            <w:r w:rsidRPr="007A7A28">
              <w:rPr>
                <w:rFonts w:ascii="Arial" w:hAnsi="Arial" w:cs="Arial"/>
                <w:b w:val="0"/>
              </w:rPr>
              <w:t>The address of any adjoining properties - including at the rear.</w:t>
            </w:r>
          </w:p>
          <w:p w:rsidR="007A7A28" w:rsidRPr="007A7A28" w:rsidRDefault="007A7A28" w:rsidP="007A7A28">
            <w:pPr>
              <w:rPr>
                <w:rFonts w:ascii="Arial" w:hAnsi="Arial" w:cs="Arial"/>
                <w:b w:val="0"/>
              </w:rPr>
            </w:pPr>
          </w:p>
          <w:p w:rsidR="007A7A28" w:rsidRPr="007A7A28" w:rsidRDefault="007A7A28" w:rsidP="007A7A28">
            <w:pPr>
              <w:rPr>
                <w:rFonts w:ascii="Arial" w:hAnsi="Arial" w:cs="Arial"/>
                <w:b w:val="0"/>
              </w:rPr>
            </w:pPr>
            <w:r w:rsidRPr="007A7A28">
              <w:rPr>
                <w:rFonts w:ascii="Arial" w:hAnsi="Arial" w:cs="Arial"/>
                <w:b w:val="0"/>
              </w:rPr>
              <w:t>A contact address for the developer and an email address if the developer is happy to receive correspondence by email</w:t>
            </w:r>
          </w:p>
          <w:p w:rsidR="007A7A28" w:rsidRPr="00F573D3" w:rsidRDefault="007A7A28" w:rsidP="00F573D3">
            <w:pPr>
              <w:rPr>
                <w:rFonts w:ascii="Arial" w:hAnsi="Arial" w:cs="Arial"/>
                <w:b w:val="0"/>
              </w:rPr>
            </w:pPr>
          </w:p>
          <w:p w:rsidR="00F573D3" w:rsidRPr="00F573D3" w:rsidRDefault="00F573D3" w:rsidP="00FB2441">
            <w:pPr>
              <w:rPr>
                <w:rFonts w:ascii="Arial" w:hAnsi="Arial" w:cs="Arial"/>
              </w:rPr>
            </w:pPr>
          </w:p>
        </w:tc>
        <w:tc>
          <w:tcPr>
            <w:tcW w:w="5812" w:type="dxa"/>
            <w:tcBorders>
              <w:left w:val="single" w:sz="4" w:space="0" w:color="auto"/>
              <w:bottom w:val="none" w:sz="0" w:space="0" w:color="auto"/>
              <w:right w:val="single" w:sz="4" w:space="0" w:color="auto"/>
            </w:tcBorders>
          </w:tcPr>
          <w:p w:rsidR="004C51F9" w:rsidRDefault="004C51F9"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F73EE7" w:rsidRDefault="00F73EE7"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F73EE7" w:rsidRDefault="00F73EE7"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F73EE7" w:rsidRDefault="00F73EE7"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F73EE7" w:rsidRDefault="00F73EE7"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F73EE7" w:rsidRDefault="00F73EE7"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F73EE7" w:rsidRDefault="00F73EE7"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F73EE7" w:rsidRDefault="00F73EE7"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7A7A28" w:rsidRDefault="00F73EE7"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Essex Parking Standards</w:t>
            </w:r>
          </w:p>
          <w:p w:rsidR="00F73EE7" w:rsidRPr="004F5193" w:rsidRDefault="00F73EE7"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UDC Parking Standards</w:t>
            </w:r>
          </w:p>
        </w:tc>
        <w:tc>
          <w:tcPr>
            <w:tcW w:w="3260" w:type="dxa"/>
            <w:tcBorders>
              <w:left w:val="single" w:sz="4" w:space="0" w:color="auto"/>
              <w:bottom w:val="none" w:sz="0" w:space="0" w:color="auto"/>
              <w:right w:val="single" w:sz="4" w:space="0" w:color="auto"/>
            </w:tcBorders>
          </w:tcPr>
          <w:p w:rsidR="00F573D3" w:rsidRDefault="00F573D3"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DB59CA" w:rsidRPr="004F5193" w:rsidRDefault="00F573D3"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applications</w:t>
            </w:r>
          </w:p>
        </w:tc>
      </w:tr>
      <w:tr w:rsidR="009B316B" w:rsidRPr="00600219" w:rsidTr="009B316B">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right w:val="single" w:sz="4" w:space="0" w:color="auto"/>
            </w:tcBorders>
          </w:tcPr>
          <w:p w:rsidR="009B316B" w:rsidRDefault="009B316B" w:rsidP="00F573D3">
            <w:pPr>
              <w:rPr>
                <w:rFonts w:ascii="Arial" w:hAnsi="Arial" w:cs="Arial"/>
                <w:b w:val="0"/>
              </w:rPr>
            </w:pPr>
          </w:p>
        </w:tc>
        <w:tc>
          <w:tcPr>
            <w:tcW w:w="5812" w:type="dxa"/>
            <w:tcBorders>
              <w:left w:val="single" w:sz="4" w:space="0" w:color="auto"/>
              <w:right w:val="single" w:sz="4" w:space="0" w:color="auto"/>
            </w:tcBorders>
          </w:tcPr>
          <w:p w:rsidR="009B316B" w:rsidRDefault="009B316B"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left w:val="single" w:sz="4" w:space="0" w:color="auto"/>
              <w:right w:val="single" w:sz="4" w:space="0" w:color="auto"/>
            </w:tcBorders>
          </w:tcPr>
          <w:p w:rsidR="009B316B" w:rsidRDefault="009B316B" w:rsidP="00F573D3">
            <w:pPr>
              <w:pStyle w:val="ListParagraph"/>
              <w:autoSpaceDE w:val="0"/>
              <w:autoSpaceDN w:val="0"/>
              <w:adjustRightInd w:val="0"/>
              <w:spacing w:line="276" w:lineRule="auto"/>
              <w:ind w:left="175"/>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B316B" w:rsidRPr="00600219" w:rsidTr="00F5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bottom w:val="single" w:sz="4" w:space="0" w:color="auto"/>
              <w:right w:val="single" w:sz="4" w:space="0" w:color="auto"/>
            </w:tcBorders>
          </w:tcPr>
          <w:p w:rsidR="009B316B" w:rsidRPr="009B316B" w:rsidRDefault="009B316B" w:rsidP="009B316B">
            <w:pPr>
              <w:autoSpaceDE w:val="0"/>
              <w:autoSpaceDN w:val="0"/>
              <w:adjustRightInd w:val="0"/>
              <w:rPr>
                <w:rFonts w:ascii="Arial" w:hAnsi="Arial" w:cs="Arial"/>
                <w:b w:val="0"/>
              </w:rPr>
            </w:pPr>
            <w:r w:rsidRPr="009B316B">
              <w:rPr>
                <w:rFonts w:ascii="Arial" w:hAnsi="Arial" w:cs="Arial"/>
                <w:b w:val="0"/>
              </w:rPr>
              <w:t>Biodiversity</w:t>
            </w:r>
          </w:p>
          <w:p w:rsidR="009B316B" w:rsidRDefault="009B316B" w:rsidP="009B316B">
            <w:pPr>
              <w:autoSpaceDE w:val="0"/>
              <w:autoSpaceDN w:val="0"/>
              <w:adjustRightInd w:val="0"/>
              <w:rPr>
                <w:rFonts w:ascii="Arial" w:hAnsi="Arial" w:cs="Arial"/>
              </w:rPr>
            </w:pPr>
          </w:p>
          <w:p w:rsidR="009B316B" w:rsidRDefault="009B316B" w:rsidP="009B316B">
            <w:pPr>
              <w:rPr>
                <w:rFonts w:ascii="Arial" w:hAnsi="Arial" w:cs="Arial"/>
                <w:b w:val="0"/>
              </w:rPr>
            </w:pPr>
            <w:r>
              <w:rPr>
                <w:rFonts w:ascii="Arial" w:hAnsi="Arial" w:cs="Arial"/>
              </w:rPr>
              <w:t>Please put any information relating to Badgers in a separate document because this information has to remain confidential.</w:t>
            </w:r>
          </w:p>
        </w:tc>
        <w:tc>
          <w:tcPr>
            <w:tcW w:w="5812" w:type="dxa"/>
            <w:tcBorders>
              <w:left w:val="single" w:sz="4" w:space="0" w:color="auto"/>
              <w:bottom w:val="single" w:sz="4" w:space="0" w:color="auto"/>
              <w:right w:val="single" w:sz="4" w:space="0" w:color="auto"/>
            </w:tcBorders>
          </w:tcPr>
          <w:p w:rsidR="009B316B" w:rsidRDefault="009B316B" w:rsidP="009B316B">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NPPF 2019 170 and 175</w:t>
            </w:r>
          </w:p>
          <w:p w:rsidR="009B316B" w:rsidRDefault="009B316B" w:rsidP="009B316B">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9B316B" w:rsidRDefault="009B316B" w:rsidP="009B316B">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UDC Adopted Local Plan 2005 </w:t>
            </w:r>
          </w:p>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GEN2, GEN7 </w:t>
            </w:r>
          </w:p>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CIEEM Advice Note ‘On the Lifespan of Ecological Reports and Surveys’ (April 2019)</w:t>
            </w:r>
          </w:p>
          <w:p w:rsidR="00003CC1" w:rsidRDefault="00D85FDD"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9" w:history="1">
              <w:r w:rsidR="00003CC1" w:rsidRPr="00003CC1">
                <w:rPr>
                  <w:rStyle w:val="Hyperlink"/>
                  <w:rFonts w:ascii="Arial" w:hAnsi="Arial" w:cs="Arial"/>
                </w:rPr>
                <w:t>Advice-Note.pdf</w:t>
              </w:r>
            </w:hyperlink>
          </w:p>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Requirements of the Habitats Regulations (The Conservation of Habitats and Species Regulations 2017 (as amended)) and the need for sufficient information to assess relevant plans or projects in the context of Habitats Sites.</w:t>
            </w:r>
          </w:p>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u w:val="none"/>
              </w:rPr>
            </w:pPr>
            <w:r>
              <w:lastRenderedPageBreak/>
              <w:t xml:space="preserve">Large Home Extension applications should complete and submit </w:t>
            </w:r>
            <w:hyperlink r:id="rId10" w:history="1">
              <w:r>
                <w:rPr>
                  <w:rStyle w:val="Hyperlink"/>
                  <w:rFonts w:ascii="Arial" w:hAnsi="Arial" w:cs="Arial"/>
                </w:rPr>
                <w:t>householder and listed building consent biodiversity validation checklist</w:t>
              </w:r>
            </w:hyperlink>
          </w:p>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highlight w:val="yellow"/>
              </w:rPr>
            </w:pPr>
            <w:r>
              <w:rPr>
                <w:highlight w:val="yellow"/>
              </w:rPr>
              <w:lastRenderedPageBreak/>
              <w:t xml:space="preserve"> </w:t>
            </w:r>
          </w:p>
          <w:p w:rsidR="009B316B" w:rsidRDefault="009B316B" w:rsidP="009B3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Ecology reports shall meet the requirements of BS42020 and CIEEM’s Advice Note on the age of data – reports over 12 months old may need to be updated</w:t>
            </w:r>
          </w:p>
          <w:p w:rsidR="009B316B" w:rsidRDefault="009B316B" w:rsidP="009B316B">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9B316B" w:rsidRDefault="009B316B" w:rsidP="00600219">
      <w:pPr>
        <w:pStyle w:val="Default"/>
        <w:rPr>
          <w:sz w:val="22"/>
          <w:szCs w:val="22"/>
        </w:rPr>
      </w:pPr>
    </w:p>
    <w:p w:rsidR="00600219" w:rsidRPr="004F5193" w:rsidRDefault="00600219" w:rsidP="00600219">
      <w:pPr>
        <w:pStyle w:val="Default"/>
        <w:rPr>
          <w:sz w:val="22"/>
          <w:szCs w:val="22"/>
        </w:rPr>
      </w:pPr>
      <w:r w:rsidRPr="004F5193">
        <w:rPr>
          <w:sz w:val="22"/>
          <w:szCs w:val="22"/>
        </w:rPr>
        <w:t xml:space="preserve">Note: </w:t>
      </w:r>
    </w:p>
    <w:p w:rsidR="00600219" w:rsidRPr="004F5193" w:rsidRDefault="00600219" w:rsidP="00FB2441">
      <w:pPr>
        <w:pStyle w:val="Default"/>
        <w:spacing w:after="20"/>
        <w:rPr>
          <w:sz w:val="22"/>
          <w:szCs w:val="22"/>
        </w:rPr>
      </w:pPr>
      <w:r w:rsidRPr="004F5193">
        <w:rPr>
          <w:sz w:val="22"/>
          <w:szCs w:val="22"/>
        </w:rPr>
        <w:t>All drawings must be suitable for scanning and display electronically</w:t>
      </w:r>
      <w:r w:rsidR="007743E9" w:rsidRPr="004F5193">
        <w:rPr>
          <w:sz w:val="22"/>
          <w:szCs w:val="22"/>
        </w:rPr>
        <w:t>.</w:t>
      </w:r>
      <w:r w:rsidRPr="004F5193">
        <w:rPr>
          <w:sz w:val="22"/>
          <w:szCs w:val="22"/>
        </w:rPr>
        <w:t xml:space="preserve"> </w:t>
      </w:r>
      <w:r w:rsidR="00CF4B1E" w:rsidRPr="004F5193">
        <w:rPr>
          <w:sz w:val="22"/>
          <w:szCs w:val="22"/>
        </w:rPr>
        <w:t>Please note that applications can be submitted electronically vi</w:t>
      </w:r>
      <w:r w:rsidR="00D85FDD">
        <w:rPr>
          <w:sz w:val="22"/>
          <w:szCs w:val="22"/>
        </w:rPr>
        <w:t>a the Planning Portal</w:t>
      </w:r>
      <w:r w:rsidR="00CF4B1E" w:rsidRPr="004F5193">
        <w:rPr>
          <w:sz w:val="22"/>
          <w:szCs w:val="22"/>
        </w:rPr>
        <w:t>.</w:t>
      </w:r>
      <w:bookmarkStart w:id="0" w:name="_GoBack"/>
      <w:bookmarkEnd w:id="0"/>
    </w:p>
    <w:sectPr w:rsidR="00600219" w:rsidRPr="004F5193" w:rsidSect="0073180E">
      <w:footerReference w:type="default" r:id="rId11"/>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55D" w:rsidRDefault="009B49EC">
    <w:pPr>
      <w:pStyle w:val="Footer"/>
    </w:pPr>
    <w:r>
      <w:t xml:space="preserve">Version </w:t>
    </w:r>
  </w:p>
  <w:p w:rsidR="001C355D" w:rsidRDefault="001C355D">
    <w:pPr>
      <w:pStyle w:val="Footer"/>
    </w:pP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FBD3AE0"/>
    <w:multiLevelType w:val="hybridMultilevel"/>
    <w:tmpl w:val="108E6E16"/>
    <w:lvl w:ilvl="0" w:tplc="EAEE71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0"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C2773"/>
    <w:multiLevelType w:val="hybridMultilevel"/>
    <w:tmpl w:val="4ABED3F4"/>
    <w:lvl w:ilvl="0" w:tplc="BCC8BD50">
      <w:start w:val="1"/>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11C31"/>
    <w:multiLevelType w:val="hybridMultilevel"/>
    <w:tmpl w:val="C37282F6"/>
    <w:lvl w:ilvl="0" w:tplc="A6708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983665F"/>
    <w:multiLevelType w:val="hybridMultilevel"/>
    <w:tmpl w:val="0A640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0"/>
  </w:num>
  <w:num w:numId="4">
    <w:abstractNumId w:val="8"/>
  </w:num>
  <w:num w:numId="5">
    <w:abstractNumId w:val="18"/>
  </w:num>
  <w:num w:numId="6">
    <w:abstractNumId w:val="16"/>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num>
  <w:num w:numId="11">
    <w:abstractNumId w:val="14"/>
  </w:num>
  <w:num w:numId="12">
    <w:abstractNumId w:val="11"/>
  </w:num>
  <w:num w:numId="13">
    <w:abstractNumId w:val="12"/>
  </w:num>
  <w:num w:numId="14">
    <w:abstractNumId w:val="1"/>
  </w:num>
  <w:num w:numId="15">
    <w:abstractNumId w:val="6"/>
  </w:num>
  <w:num w:numId="16">
    <w:abstractNumId w:val="2"/>
  </w:num>
  <w:num w:numId="17">
    <w:abstractNumId w:val="7"/>
  </w:num>
  <w:num w:numId="18">
    <w:abstractNumId w:val="9"/>
  </w:num>
  <w:num w:numId="19">
    <w:abstractNumId w:val="19"/>
  </w:num>
  <w:num w:numId="20">
    <w:abstractNumId w:val="13"/>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25"/>
    <w:rsid w:val="00003CC1"/>
    <w:rsid w:val="00012FAB"/>
    <w:rsid w:val="00033339"/>
    <w:rsid w:val="00087D5E"/>
    <w:rsid w:val="00147D03"/>
    <w:rsid w:val="00150912"/>
    <w:rsid w:val="001C355D"/>
    <w:rsid w:val="00210C55"/>
    <w:rsid w:val="00225A76"/>
    <w:rsid w:val="002308D0"/>
    <w:rsid w:val="002313B8"/>
    <w:rsid w:val="00231ACC"/>
    <w:rsid w:val="00267029"/>
    <w:rsid w:val="002818CD"/>
    <w:rsid w:val="002B713A"/>
    <w:rsid w:val="002D2DCB"/>
    <w:rsid w:val="002D3DD7"/>
    <w:rsid w:val="003321A2"/>
    <w:rsid w:val="0035198A"/>
    <w:rsid w:val="0035199A"/>
    <w:rsid w:val="00354618"/>
    <w:rsid w:val="00371FDB"/>
    <w:rsid w:val="0037794D"/>
    <w:rsid w:val="003A15D0"/>
    <w:rsid w:val="003B7DC9"/>
    <w:rsid w:val="003C152D"/>
    <w:rsid w:val="003C177E"/>
    <w:rsid w:val="0043133B"/>
    <w:rsid w:val="004619AB"/>
    <w:rsid w:val="004674A6"/>
    <w:rsid w:val="004A5945"/>
    <w:rsid w:val="004B3618"/>
    <w:rsid w:val="004C51F9"/>
    <w:rsid w:val="004D149E"/>
    <w:rsid w:val="004D41B1"/>
    <w:rsid w:val="004D4AFD"/>
    <w:rsid w:val="004F5193"/>
    <w:rsid w:val="00501730"/>
    <w:rsid w:val="00520FCE"/>
    <w:rsid w:val="00555141"/>
    <w:rsid w:val="0058429C"/>
    <w:rsid w:val="00584972"/>
    <w:rsid w:val="00597289"/>
    <w:rsid w:val="00600219"/>
    <w:rsid w:val="00642825"/>
    <w:rsid w:val="00650C25"/>
    <w:rsid w:val="006E7226"/>
    <w:rsid w:val="006F6A2E"/>
    <w:rsid w:val="0070249B"/>
    <w:rsid w:val="0073180E"/>
    <w:rsid w:val="007616D6"/>
    <w:rsid w:val="00764ECE"/>
    <w:rsid w:val="007743E9"/>
    <w:rsid w:val="007878B7"/>
    <w:rsid w:val="007A20FE"/>
    <w:rsid w:val="007A640F"/>
    <w:rsid w:val="007A7A28"/>
    <w:rsid w:val="007B7F07"/>
    <w:rsid w:val="007C0A45"/>
    <w:rsid w:val="007C3287"/>
    <w:rsid w:val="007D5141"/>
    <w:rsid w:val="00817195"/>
    <w:rsid w:val="0082236D"/>
    <w:rsid w:val="00875A41"/>
    <w:rsid w:val="00877E33"/>
    <w:rsid w:val="0088075F"/>
    <w:rsid w:val="008A35C8"/>
    <w:rsid w:val="008E2106"/>
    <w:rsid w:val="008E3558"/>
    <w:rsid w:val="00906878"/>
    <w:rsid w:val="00915865"/>
    <w:rsid w:val="009473B8"/>
    <w:rsid w:val="00951E62"/>
    <w:rsid w:val="00955A61"/>
    <w:rsid w:val="009A152A"/>
    <w:rsid w:val="009A3707"/>
    <w:rsid w:val="009B316B"/>
    <w:rsid w:val="009B49EC"/>
    <w:rsid w:val="009C15CD"/>
    <w:rsid w:val="009D17B4"/>
    <w:rsid w:val="009F0118"/>
    <w:rsid w:val="009F6033"/>
    <w:rsid w:val="009F7B22"/>
    <w:rsid w:val="00A3234B"/>
    <w:rsid w:val="00A4504F"/>
    <w:rsid w:val="00AE5393"/>
    <w:rsid w:val="00AF35CD"/>
    <w:rsid w:val="00B11FE2"/>
    <w:rsid w:val="00B31518"/>
    <w:rsid w:val="00B4444B"/>
    <w:rsid w:val="00B5443E"/>
    <w:rsid w:val="00B76C59"/>
    <w:rsid w:val="00BA51A8"/>
    <w:rsid w:val="00BE109E"/>
    <w:rsid w:val="00C01ABD"/>
    <w:rsid w:val="00C10582"/>
    <w:rsid w:val="00C11FBD"/>
    <w:rsid w:val="00C3672B"/>
    <w:rsid w:val="00C471FF"/>
    <w:rsid w:val="00C47E7F"/>
    <w:rsid w:val="00C60920"/>
    <w:rsid w:val="00CB7189"/>
    <w:rsid w:val="00CF0DA4"/>
    <w:rsid w:val="00CF4B1E"/>
    <w:rsid w:val="00D322CF"/>
    <w:rsid w:val="00D85FDD"/>
    <w:rsid w:val="00D86F7D"/>
    <w:rsid w:val="00DA438E"/>
    <w:rsid w:val="00DA6BD8"/>
    <w:rsid w:val="00DB59CA"/>
    <w:rsid w:val="00DC0F62"/>
    <w:rsid w:val="00DD0BB4"/>
    <w:rsid w:val="00E06B79"/>
    <w:rsid w:val="00E11B61"/>
    <w:rsid w:val="00E123E0"/>
    <w:rsid w:val="00E135C0"/>
    <w:rsid w:val="00E13F0D"/>
    <w:rsid w:val="00E374AB"/>
    <w:rsid w:val="00E602C0"/>
    <w:rsid w:val="00E67EE9"/>
    <w:rsid w:val="00E77DB5"/>
    <w:rsid w:val="00E96FC7"/>
    <w:rsid w:val="00EA39EB"/>
    <w:rsid w:val="00ED268B"/>
    <w:rsid w:val="00ED2AA3"/>
    <w:rsid w:val="00F043A7"/>
    <w:rsid w:val="00F117CD"/>
    <w:rsid w:val="00F26385"/>
    <w:rsid w:val="00F573D3"/>
    <w:rsid w:val="00F626CD"/>
    <w:rsid w:val="00F73EE7"/>
    <w:rsid w:val="00FB2441"/>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AFD0A"/>
  <w15:docId w15:val="{EB5002A5-5D30-4FB1-A754-80E148B5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 w:type="character" w:styleId="CommentReference">
    <w:name w:val="annotation reference"/>
    <w:basedOn w:val="DefaultParagraphFont"/>
    <w:uiPriority w:val="99"/>
    <w:semiHidden/>
    <w:unhideWhenUsed/>
    <w:rsid w:val="004F5193"/>
    <w:rPr>
      <w:sz w:val="16"/>
      <w:szCs w:val="16"/>
    </w:rPr>
  </w:style>
  <w:style w:type="paragraph" w:styleId="CommentText">
    <w:name w:val="annotation text"/>
    <w:basedOn w:val="Normal"/>
    <w:link w:val="CommentTextChar"/>
    <w:uiPriority w:val="99"/>
    <w:semiHidden/>
    <w:unhideWhenUsed/>
    <w:rsid w:val="004F5193"/>
    <w:rPr>
      <w:sz w:val="20"/>
      <w:szCs w:val="20"/>
    </w:rPr>
  </w:style>
  <w:style w:type="character" w:customStyle="1" w:styleId="CommentTextChar">
    <w:name w:val="Comment Text Char"/>
    <w:basedOn w:val="DefaultParagraphFont"/>
    <w:link w:val="CommentText"/>
    <w:uiPriority w:val="99"/>
    <w:semiHidden/>
    <w:rsid w:val="004F5193"/>
    <w:rPr>
      <w:sz w:val="20"/>
      <w:szCs w:val="20"/>
    </w:rPr>
  </w:style>
  <w:style w:type="paragraph" w:styleId="CommentSubject">
    <w:name w:val="annotation subject"/>
    <w:basedOn w:val="CommentText"/>
    <w:next w:val="CommentText"/>
    <w:link w:val="CommentSubjectChar"/>
    <w:uiPriority w:val="99"/>
    <w:semiHidden/>
    <w:unhideWhenUsed/>
    <w:rsid w:val="004F5193"/>
    <w:rPr>
      <w:b/>
      <w:bCs/>
    </w:rPr>
  </w:style>
  <w:style w:type="character" w:customStyle="1" w:styleId="CommentSubjectChar">
    <w:name w:val="Comment Subject Char"/>
    <w:basedOn w:val="CommentTextChar"/>
    <w:link w:val="CommentSubject"/>
    <w:uiPriority w:val="99"/>
    <w:semiHidden/>
    <w:rsid w:val="004F5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9374">
      <w:bodyDiv w:val="1"/>
      <w:marLeft w:val="0"/>
      <w:marRight w:val="0"/>
      <w:marTop w:val="0"/>
      <w:marBottom w:val="0"/>
      <w:divBdr>
        <w:top w:val="none" w:sz="0" w:space="0" w:color="auto"/>
        <w:left w:val="none" w:sz="0" w:space="0" w:color="auto"/>
        <w:bottom w:val="none" w:sz="0" w:space="0" w:color="auto"/>
        <w:right w:val="none" w:sz="0" w:space="0" w:color="auto"/>
      </w:divBdr>
    </w:div>
    <w:div w:id="88357528">
      <w:bodyDiv w:val="1"/>
      <w:marLeft w:val="0"/>
      <w:marRight w:val="0"/>
      <w:marTop w:val="0"/>
      <w:marBottom w:val="0"/>
      <w:divBdr>
        <w:top w:val="none" w:sz="0" w:space="0" w:color="auto"/>
        <w:left w:val="none" w:sz="0" w:space="0" w:color="auto"/>
        <w:bottom w:val="none" w:sz="0" w:space="0" w:color="auto"/>
        <w:right w:val="none" w:sz="0" w:space="0" w:color="auto"/>
      </w:divBdr>
    </w:div>
    <w:div w:id="325936196">
      <w:bodyDiv w:val="1"/>
      <w:marLeft w:val="0"/>
      <w:marRight w:val="0"/>
      <w:marTop w:val="0"/>
      <w:marBottom w:val="0"/>
      <w:divBdr>
        <w:top w:val="none" w:sz="0" w:space="0" w:color="auto"/>
        <w:left w:val="none" w:sz="0" w:space="0" w:color="auto"/>
        <w:bottom w:val="none" w:sz="0" w:space="0" w:color="auto"/>
        <w:right w:val="none" w:sz="0" w:space="0" w:color="auto"/>
      </w:divBdr>
    </w:div>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398525134">
      <w:bodyDiv w:val="1"/>
      <w:marLeft w:val="0"/>
      <w:marRight w:val="0"/>
      <w:marTop w:val="0"/>
      <w:marBottom w:val="0"/>
      <w:divBdr>
        <w:top w:val="none" w:sz="0" w:space="0" w:color="auto"/>
        <w:left w:val="none" w:sz="0" w:space="0" w:color="auto"/>
        <w:bottom w:val="none" w:sz="0" w:space="0" w:color="auto"/>
        <w:right w:val="none" w:sz="0" w:space="0" w:color="auto"/>
      </w:divBdr>
    </w:div>
    <w:div w:id="690499844">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682123763">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 Id="rId4" Type="http://schemas.openxmlformats.org/officeDocument/2006/relationships/settings" Target="settings.xml"/><Relationship Id="rId9" Type="http://schemas.openxmlformats.org/officeDocument/2006/relationships/hyperlink" Target="https://cieem.net/wp-content/uploads/2019/04/Advice-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2D2A-933A-46F6-93DC-84E42CE0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Caroline Watson</cp:lastModifiedBy>
  <cp:revision>7</cp:revision>
  <cp:lastPrinted>2018-10-11T11:58:00Z</cp:lastPrinted>
  <dcterms:created xsi:type="dcterms:W3CDTF">2021-05-28T09:53:00Z</dcterms:created>
  <dcterms:modified xsi:type="dcterms:W3CDTF">2021-06-17T12:27:00Z</dcterms:modified>
</cp:coreProperties>
</file>